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0940" w14:textId="65E2C034" w:rsidR="006170B5" w:rsidRPr="006170B5" w:rsidRDefault="001467D0" w:rsidP="006170B5">
      <w:pPr>
        <w:jc w:val="righ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W</w:t>
      </w:r>
      <w:r w:rsidR="006170B5" w:rsidRPr="006170B5">
        <w:rPr>
          <w:rFonts w:ascii="Poppins" w:hAnsi="Poppins" w:cs="Poppins"/>
          <w:sz w:val="20"/>
          <w:szCs w:val="20"/>
        </w:rPr>
        <w:t xml:space="preserve">arszawa, </w:t>
      </w:r>
      <w:r w:rsidR="00D30CB5">
        <w:rPr>
          <w:rFonts w:ascii="Poppins" w:hAnsi="Poppins" w:cs="Poppins"/>
          <w:sz w:val="20"/>
          <w:szCs w:val="20"/>
        </w:rPr>
        <w:t>21</w:t>
      </w:r>
      <w:r w:rsidR="00BF2F46">
        <w:rPr>
          <w:rFonts w:ascii="Poppins" w:hAnsi="Poppins" w:cs="Poppins"/>
          <w:sz w:val="20"/>
          <w:szCs w:val="20"/>
        </w:rPr>
        <w:t>.</w:t>
      </w:r>
      <w:r w:rsidR="00EC78B9">
        <w:rPr>
          <w:rFonts w:ascii="Poppins" w:hAnsi="Poppins" w:cs="Poppins"/>
          <w:sz w:val="20"/>
          <w:szCs w:val="20"/>
        </w:rPr>
        <w:t>0</w:t>
      </w:r>
      <w:r w:rsidR="0037657E">
        <w:rPr>
          <w:rFonts w:ascii="Poppins" w:hAnsi="Poppins" w:cs="Poppins"/>
          <w:sz w:val="20"/>
          <w:szCs w:val="20"/>
        </w:rPr>
        <w:t>3</w:t>
      </w:r>
      <w:r w:rsidR="00BF2F46">
        <w:rPr>
          <w:rFonts w:ascii="Poppins" w:hAnsi="Poppins" w:cs="Poppins"/>
          <w:sz w:val="20"/>
          <w:szCs w:val="20"/>
        </w:rPr>
        <w:t>.202</w:t>
      </w:r>
      <w:r w:rsidR="00A4731E">
        <w:rPr>
          <w:rFonts w:ascii="Poppins" w:hAnsi="Poppins" w:cs="Poppins"/>
          <w:sz w:val="20"/>
          <w:szCs w:val="20"/>
        </w:rPr>
        <w:t>4</w:t>
      </w:r>
      <w:r w:rsidR="00BF2F46">
        <w:rPr>
          <w:rFonts w:ascii="Poppins" w:hAnsi="Poppins" w:cs="Poppins"/>
          <w:sz w:val="20"/>
          <w:szCs w:val="20"/>
        </w:rPr>
        <w:t xml:space="preserve"> r.</w:t>
      </w:r>
    </w:p>
    <w:p w14:paraId="1907DD98" w14:textId="19623813" w:rsidR="00CA33AD" w:rsidRDefault="00293F01" w:rsidP="00CA33AD">
      <w:pPr>
        <w:rPr>
          <w:rFonts w:ascii="Poppins" w:hAnsi="Poppins" w:cs="Poppins"/>
          <w:sz w:val="24"/>
          <w:szCs w:val="24"/>
        </w:rPr>
      </w:pPr>
      <w:r w:rsidRPr="00293F01">
        <w:rPr>
          <w:rFonts w:ascii="Poppins" w:hAnsi="Poppins" w:cs="Poppins"/>
          <w:sz w:val="24"/>
          <w:szCs w:val="24"/>
        </w:rPr>
        <w:t xml:space="preserve">Autor: </w:t>
      </w:r>
      <w:r w:rsidR="00BF2F46">
        <w:rPr>
          <w:rFonts w:ascii="Poppins" w:hAnsi="Poppins" w:cs="Poppins"/>
          <w:sz w:val="24"/>
          <w:szCs w:val="24"/>
        </w:rPr>
        <w:t>Jarosław Jędrzyński</w:t>
      </w:r>
      <w:r w:rsidR="00215076">
        <w:rPr>
          <w:rFonts w:ascii="Poppins" w:hAnsi="Poppins" w:cs="Poppins"/>
          <w:sz w:val="24"/>
          <w:szCs w:val="24"/>
        </w:rPr>
        <w:t>, ekspert portalu RynekPierwotny.pl</w:t>
      </w:r>
    </w:p>
    <w:p w14:paraId="40DD5B38" w14:textId="77777777" w:rsidR="00655C90" w:rsidRPr="00215076" w:rsidRDefault="00655C90" w:rsidP="00655C90">
      <w:pPr>
        <w:rPr>
          <w:rFonts w:ascii="Poppins" w:hAnsi="Poppins" w:cs="Poppins"/>
          <w:b/>
          <w:bCs/>
          <w:sz w:val="36"/>
          <w:szCs w:val="36"/>
        </w:rPr>
      </w:pPr>
      <w:r w:rsidRPr="00215076">
        <w:rPr>
          <w:rFonts w:ascii="Poppins" w:hAnsi="Poppins" w:cs="Poppins"/>
          <w:b/>
          <w:bCs/>
          <w:sz w:val="36"/>
          <w:szCs w:val="36"/>
        </w:rPr>
        <w:t>Wiosenne ożywienie w b</w:t>
      </w:r>
      <w:r w:rsidR="001E68B8" w:rsidRPr="00215076">
        <w:rPr>
          <w:rFonts w:ascii="Poppins" w:hAnsi="Poppins" w:cs="Poppins"/>
          <w:b/>
          <w:bCs/>
          <w:sz w:val="36"/>
          <w:szCs w:val="36"/>
        </w:rPr>
        <w:t>udownictw</w:t>
      </w:r>
      <w:r w:rsidRPr="00215076">
        <w:rPr>
          <w:rFonts w:ascii="Poppins" w:hAnsi="Poppins" w:cs="Poppins"/>
          <w:b/>
          <w:bCs/>
          <w:sz w:val="36"/>
          <w:szCs w:val="36"/>
        </w:rPr>
        <w:t>ie</w:t>
      </w:r>
      <w:r w:rsidR="001E68B8" w:rsidRPr="00215076">
        <w:rPr>
          <w:rFonts w:ascii="Poppins" w:hAnsi="Poppins" w:cs="Poppins"/>
          <w:b/>
          <w:bCs/>
          <w:sz w:val="36"/>
          <w:szCs w:val="36"/>
        </w:rPr>
        <w:t xml:space="preserve"> mieszkaniow</w:t>
      </w:r>
      <w:r w:rsidRPr="00215076">
        <w:rPr>
          <w:rFonts w:ascii="Poppins" w:hAnsi="Poppins" w:cs="Poppins"/>
          <w:b/>
          <w:bCs/>
          <w:sz w:val="36"/>
          <w:szCs w:val="36"/>
        </w:rPr>
        <w:t>ym</w:t>
      </w:r>
      <w:r w:rsidR="001E68B8" w:rsidRPr="00215076">
        <w:rPr>
          <w:rFonts w:ascii="Poppins" w:hAnsi="Poppins" w:cs="Poppins"/>
          <w:b/>
          <w:bCs/>
          <w:sz w:val="36"/>
          <w:szCs w:val="36"/>
        </w:rPr>
        <w:t xml:space="preserve"> </w:t>
      </w:r>
    </w:p>
    <w:p w14:paraId="7102CBDF" w14:textId="5878DCD1" w:rsidR="00D30CB5" w:rsidRPr="00215076" w:rsidRDefault="00632E1A" w:rsidP="00215076">
      <w:pPr>
        <w:spacing w:before="120" w:after="120" w:line="240" w:lineRule="auto"/>
        <w:jc w:val="both"/>
        <w:rPr>
          <w:rFonts w:ascii="Poppins" w:hAnsi="Poppins" w:cs="Poppins"/>
          <w:b/>
          <w:bCs/>
        </w:rPr>
      </w:pPr>
      <w:r w:rsidRPr="00215076">
        <w:rPr>
          <w:rFonts w:ascii="Poppins" w:hAnsi="Poppins" w:cs="Poppins"/>
          <w:b/>
          <w:bCs/>
        </w:rPr>
        <w:t>S</w:t>
      </w:r>
      <w:r w:rsidR="00D30CB5" w:rsidRPr="00215076">
        <w:rPr>
          <w:rFonts w:ascii="Poppins" w:hAnsi="Poppins" w:cs="Poppins"/>
          <w:b/>
          <w:bCs/>
        </w:rPr>
        <w:t xml:space="preserve">tatystyki GUS budownictwa mieszkaniowego </w:t>
      </w:r>
      <w:r w:rsidRPr="00215076">
        <w:rPr>
          <w:rFonts w:ascii="Poppins" w:hAnsi="Poppins" w:cs="Poppins"/>
          <w:b/>
          <w:bCs/>
        </w:rPr>
        <w:t xml:space="preserve">w pierwszych tygodniach każdego roku </w:t>
      </w:r>
      <w:r w:rsidR="00D30CB5" w:rsidRPr="00215076">
        <w:rPr>
          <w:rFonts w:ascii="Poppins" w:hAnsi="Poppins" w:cs="Poppins"/>
          <w:b/>
          <w:bCs/>
        </w:rPr>
        <w:t xml:space="preserve">zazwyczaj sygnalizują </w:t>
      </w:r>
      <w:r w:rsidRPr="00215076">
        <w:rPr>
          <w:rFonts w:ascii="Poppins" w:hAnsi="Poppins" w:cs="Poppins"/>
          <w:b/>
          <w:bCs/>
        </w:rPr>
        <w:t>sezonowe</w:t>
      </w:r>
      <w:r w:rsidR="00D30CB5" w:rsidRPr="00215076">
        <w:rPr>
          <w:rFonts w:ascii="Poppins" w:hAnsi="Poppins" w:cs="Poppins"/>
          <w:b/>
          <w:bCs/>
        </w:rPr>
        <w:t xml:space="preserve"> osłabienie aktywności </w:t>
      </w:r>
      <w:r w:rsidR="004F4BE7" w:rsidRPr="00215076">
        <w:rPr>
          <w:rFonts w:ascii="Poppins" w:hAnsi="Poppins" w:cs="Poppins"/>
          <w:b/>
          <w:bCs/>
        </w:rPr>
        <w:t xml:space="preserve">inwestycyjnej. </w:t>
      </w:r>
      <w:r w:rsidR="00AF6E36" w:rsidRPr="00215076">
        <w:rPr>
          <w:rFonts w:ascii="Poppins" w:hAnsi="Poppins" w:cs="Poppins"/>
          <w:b/>
          <w:bCs/>
        </w:rPr>
        <w:t>Tymczasem</w:t>
      </w:r>
      <w:r w:rsidR="00215076">
        <w:rPr>
          <w:rFonts w:ascii="Poppins" w:hAnsi="Poppins" w:cs="Poppins"/>
          <w:b/>
          <w:bCs/>
        </w:rPr>
        <w:t>, jak zauważają eksperci portalu RynekPierwotny.pl,</w:t>
      </w:r>
      <w:r w:rsidR="004F4BE7" w:rsidRPr="00215076">
        <w:rPr>
          <w:rFonts w:ascii="Poppins" w:hAnsi="Poppins" w:cs="Poppins"/>
          <w:b/>
          <w:bCs/>
        </w:rPr>
        <w:t xml:space="preserve"> w roku bieżącym</w:t>
      </w:r>
      <w:r w:rsidR="00AF6E36" w:rsidRPr="00215076">
        <w:rPr>
          <w:rFonts w:ascii="Poppins" w:hAnsi="Poppins" w:cs="Poppins"/>
          <w:b/>
          <w:bCs/>
        </w:rPr>
        <w:t xml:space="preserve"> </w:t>
      </w:r>
      <w:r w:rsidRPr="00215076">
        <w:rPr>
          <w:rFonts w:ascii="Poppins" w:hAnsi="Poppins" w:cs="Poppins"/>
          <w:b/>
          <w:bCs/>
        </w:rPr>
        <w:t>po optymistycznym styczniu</w:t>
      </w:r>
      <w:r w:rsidR="00215076">
        <w:rPr>
          <w:rFonts w:ascii="Poppins" w:hAnsi="Poppins" w:cs="Poppins"/>
          <w:b/>
          <w:bCs/>
        </w:rPr>
        <w:t>,</w:t>
      </w:r>
      <w:r w:rsidRPr="00215076">
        <w:rPr>
          <w:rFonts w:ascii="Poppins" w:hAnsi="Poppins" w:cs="Poppins"/>
          <w:b/>
          <w:bCs/>
        </w:rPr>
        <w:t xml:space="preserve"> w lutym można już mówić o wiosennym ożywieniu w pełnej krasie, </w:t>
      </w:r>
      <w:r w:rsidR="007779A3" w:rsidRPr="00215076">
        <w:rPr>
          <w:rFonts w:ascii="Poppins" w:hAnsi="Poppins" w:cs="Poppins"/>
          <w:b/>
          <w:bCs/>
        </w:rPr>
        <w:t xml:space="preserve">w </w:t>
      </w:r>
      <w:r w:rsidRPr="00215076">
        <w:rPr>
          <w:rFonts w:ascii="Poppins" w:hAnsi="Poppins" w:cs="Poppins"/>
          <w:b/>
          <w:bCs/>
        </w:rPr>
        <w:t>któr</w:t>
      </w:r>
      <w:r w:rsidR="007779A3" w:rsidRPr="00215076">
        <w:rPr>
          <w:rFonts w:ascii="Poppins" w:hAnsi="Poppins" w:cs="Poppins"/>
          <w:b/>
          <w:bCs/>
        </w:rPr>
        <w:t>ym</w:t>
      </w:r>
      <w:r w:rsidRPr="00215076">
        <w:rPr>
          <w:rFonts w:ascii="Poppins" w:hAnsi="Poppins" w:cs="Poppins"/>
          <w:b/>
          <w:bCs/>
        </w:rPr>
        <w:t xml:space="preserve"> </w:t>
      </w:r>
      <w:r w:rsidR="007779A3" w:rsidRPr="00215076">
        <w:rPr>
          <w:rFonts w:ascii="Poppins" w:hAnsi="Poppins" w:cs="Poppins"/>
          <w:b/>
          <w:bCs/>
        </w:rPr>
        <w:t>uczestniczą</w:t>
      </w:r>
      <w:r w:rsidRPr="00215076">
        <w:rPr>
          <w:rFonts w:ascii="Poppins" w:hAnsi="Poppins" w:cs="Poppins"/>
          <w:b/>
          <w:bCs/>
        </w:rPr>
        <w:t xml:space="preserve"> </w:t>
      </w:r>
      <w:r w:rsidR="00D51399" w:rsidRPr="00215076">
        <w:rPr>
          <w:rFonts w:ascii="Poppins" w:hAnsi="Poppins" w:cs="Poppins"/>
          <w:b/>
          <w:bCs/>
        </w:rPr>
        <w:t xml:space="preserve">zarówno </w:t>
      </w:r>
      <w:r w:rsidRPr="00215076">
        <w:rPr>
          <w:rFonts w:ascii="Poppins" w:hAnsi="Poppins" w:cs="Poppins"/>
          <w:b/>
          <w:bCs/>
        </w:rPr>
        <w:t>deweloperzy jak i inwestorzy indywidualni.</w:t>
      </w:r>
      <w:r w:rsidR="004F4BE7" w:rsidRPr="00215076">
        <w:rPr>
          <w:rFonts w:ascii="Poppins" w:hAnsi="Poppins" w:cs="Poppins"/>
          <w:b/>
          <w:bCs/>
        </w:rPr>
        <w:t xml:space="preserve"> </w:t>
      </w:r>
    </w:p>
    <w:p w14:paraId="219C4703" w14:textId="701CBA75" w:rsidR="004F4BE7" w:rsidRPr="00215076" w:rsidRDefault="00330258" w:rsidP="002D1AF3">
      <w:pPr>
        <w:shd w:val="clear" w:color="auto" w:fill="FFFFFF"/>
        <w:spacing w:before="120" w:after="120" w:line="240" w:lineRule="auto"/>
        <w:jc w:val="both"/>
        <w:rPr>
          <w:rFonts w:ascii="Poppins" w:eastAsia="Times New Roman" w:hAnsi="Poppins" w:cs="Poppins"/>
          <w:b/>
          <w:bCs/>
          <w:sz w:val="21"/>
          <w:szCs w:val="21"/>
          <w:lang w:eastAsia="pl-PL"/>
        </w:rPr>
      </w:pPr>
      <w:r w:rsidRPr="00215076">
        <w:rPr>
          <w:rFonts w:ascii="Poppins" w:eastAsia="Times New Roman" w:hAnsi="Poppins" w:cs="Poppins"/>
          <w:b/>
          <w:bCs/>
          <w:sz w:val="21"/>
          <w:szCs w:val="21"/>
          <w:lang w:eastAsia="pl-PL"/>
        </w:rPr>
        <w:t>Początek roku z mocnym akcentem</w:t>
      </w:r>
    </w:p>
    <w:p w14:paraId="459FD683" w14:textId="77777777" w:rsidR="00E73E63" w:rsidRPr="00215076" w:rsidRDefault="007779A3" w:rsidP="002D1AF3">
      <w:pPr>
        <w:shd w:val="clear" w:color="auto" w:fill="FFFFFF"/>
        <w:spacing w:before="120" w:after="120" w:line="240" w:lineRule="auto"/>
        <w:jc w:val="both"/>
        <w:rPr>
          <w:rFonts w:ascii="Poppins" w:eastAsia="Times New Roman" w:hAnsi="Poppins" w:cs="Poppins"/>
          <w:bCs/>
          <w:sz w:val="21"/>
          <w:szCs w:val="21"/>
          <w:lang w:eastAsia="pl-PL"/>
        </w:rPr>
      </w:pPr>
      <w:r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>Tegoroczny styczeń, choć jak na początek roku nie zawiódł oczekiwań uczestników rynku nieruchomości, to jednak</w:t>
      </w:r>
      <w:r w:rsidR="0054639B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 </w:t>
      </w:r>
      <w:r w:rsidR="004F4BE7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nie </w:t>
      </w:r>
      <w:r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>zapowiadał większego przesilenia</w:t>
      </w:r>
      <w:r w:rsidR="004F4BE7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 w dość wyraźnie osłabionej </w:t>
      </w:r>
      <w:r w:rsidR="0054639B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w minionych miesiącach </w:t>
      </w:r>
      <w:r w:rsidR="004F4BE7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>dynamice zmian danych budownictwa mieszkaniowego.</w:t>
      </w:r>
      <w:r w:rsidR="0012480B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 </w:t>
      </w:r>
      <w:r w:rsidR="004F4BE7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Raczej zasygnalizował perspektywę ich utrzymania w </w:t>
      </w:r>
      <w:r w:rsidR="0054639B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>przewidywalnej przyszłości</w:t>
      </w:r>
      <w:r w:rsidR="004F4BE7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 na przeciętnych poziomach,</w:t>
      </w:r>
      <w:r w:rsidR="00AF6E36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 z szansą na progres w okolicznościach ewentualnej poprawy warunków okołorynkowych</w:t>
      </w:r>
      <w:r w:rsidR="004F4BE7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>.</w:t>
      </w:r>
      <w:r w:rsidR="0012480B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 </w:t>
      </w:r>
    </w:p>
    <w:p w14:paraId="543AACD2" w14:textId="2192B5A4" w:rsidR="00E73E63" w:rsidRPr="00215076" w:rsidRDefault="007779A3" w:rsidP="002D1AF3">
      <w:pPr>
        <w:shd w:val="clear" w:color="auto" w:fill="FFFFFF"/>
        <w:spacing w:before="120" w:after="120" w:line="240" w:lineRule="auto"/>
        <w:jc w:val="both"/>
        <w:rPr>
          <w:rFonts w:ascii="Poppins" w:eastAsia="Times New Roman" w:hAnsi="Poppins" w:cs="Poppins"/>
          <w:bCs/>
          <w:sz w:val="21"/>
          <w:szCs w:val="21"/>
          <w:lang w:eastAsia="pl-PL"/>
        </w:rPr>
      </w:pPr>
      <w:r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>Tymczasem już w lutym widzimy silne ożywienie aktywności inwestycyjnej w statystykach</w:t>
      </w:r>
      <w:r w:rsidR="0012480B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 mieszkań rozpoczętych, czyli tych o fundamentalnym znaczeniu dla oceny stanu bieżącej koniunktury i jej perspektyw.</w:t>
      </w:r>
      <w:r w:rsidR="00E73E63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 </w:t>
      </w:r>
      <w:r w:rsidR="00330258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>W drugim miesiącu roku r</w:t>
      </w:r>
      <w:r w:rsidR="0012480B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>ozpoczęt</w:t>
      </w:r>
      <w:r w:rsidR="00E73E63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>o</w:t>
      </w:r>
      <w:r w:rsidR="0012480B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 ogółem budowę </w:t>
      </w:r>
      <w:r w:rsidR="00E73E63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>20,5</w:t>
      </w:r>
      <w:r w:rsidR="0012480B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 tys. mieszkań, co jest wynikiem lepszym licząc rok do roku o </w:t>
      </w:r>
      <w:r w:rsidR="00E73E63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>równe 90</w:t>
      </w:r>
      <w:r w:rsidR="0012480B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 proc. Z kolei</w:t>
      </w:r>
      <w:r w:rsid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, jak zauważa portal </w:t>
      </w:r>
      <w:hyperlink r:id="rId8" w:history="1">
        <w:r w:rsidR="00215076" w:rsidRPr="00215076">
          <w:rPr>
            <w:rStyle w:val="Hipercze"/>
            <w:rFonts w:ascii="Poppins" w:eastAsia="Times New Roman" w:hAnsi="Poppins" w:cs="Poppins"/>
            <w:bCs/>
            <w:sz w:val="21"/>
            <w:szCs w:val="21"/>
            <w:lang w:eastAsia="pl-PL"/>
          </w:rPr>
          <w:t>RynekPierwotny.pl</w:t>
        </w:r>
      </w:hyperlink>
      <w:r w:rsidR="00215076">
        <w:rPr>
          <w:rFonts w:ascii="Poppins" w:eastAsia="Times New Roman" w:hAnsi="Poppins" w:cs="Poppins"/>
          <w:bCs/>
          <w:sz w:val="21"/>
          <w:szCs w:val="21"/>
          <w:lang w:eastAsia="pl-PL"/>
        </w:rPr>
        <w:t>,</w:t>
      </w:r>
      <w:r w:rsidR="0012480B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 sami deweloperzy ruszyli z budową </w:t>
      </w:r>
      <w:r w:rsidR="00E73E63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grubo </w:t>
      </w:r>
      <w:r w:rsidR="0012480B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>ponad 1</w:t>
      </w:r>
      <w:r w:rsidR="00E73E63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>4</w:t>
      </w:r>
      <w:r w:rsidR="0012480B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 tys. lokali, co z górą podwoiło dynamikę tych danych</w:t>
      </w:r>
      <w:r w:rsidR="00330258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 miesięcznych </w:t>
      </w:r>
      <w:r w:rsidR="0012480B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licząc rok do roku. </w:t>
      </w:r>
      <w:r w:rsidR="00B70999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Uwagę zwraca tu jednak niska baza. Porównujemy bowiem </w:t>
      </w:r>
      <w:r w:rsidR="00B04046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najlepszy rezultat od czerwca 2022 roku, czyli ostatniego miesiąca przed </w:t>
      </w:r>
      <w:r w:rsidR="00330258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średnioterminowym </w:t>
      </w:r>
      <w:r w:rsidR="00B04046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>załamaniem danych GUS budownictwa mieszkaniowego</w:t>
      </w:r>
      <w:r w:rsidR="00F73964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>,</w:t>
      </w:r>
      <w:r w:rsidR="00B70999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 do jednego z najgorszych wyników miesięcznych w najnowszej historii, czyli z lutego 2022 roku</w:t>
      </w:r>
    </w:p>
    <w:p w14:paraId="55BDB5A6" w14:textId="25679061" w:rsidR="00E73E63" w:rsidRPr="00215076" w:rsidRDefault="00215076" w:rsidP="00215076">
      <w:pPr>
        <w:shd w:val="clear" w:color="auto" w:fill="FFFFFF"/>
        <w:spacing w:before="120" w:after="120" w:line="240" w:lineRule="auto"/>
        <w:jc w:val="center"/>
        <w:rPr>
          <w:rFonts w:ascii="Poppins" w:eastAsia="Times New Roman" w:hAnsi="Poppins" w:cs="Poppins"/>
          <w:bCs/>
          <w:sz w:val="21"/>
          <w:szCs w:val="21"/>
          <w:lang w:eastAsia="pl-PL"/>
        </w:rPr>
      </w:pPr>
      <w:r w:rsidRPr="00215076">
        <w:rPr>
          <w:rFonts w:ascii="Poppins" w:eastAsia="Times New Roman" w:hAnsi="Poppins" w:cs="Poppins"/>
          <w:bCs/>
          <w:noProof/>
          <w:sz w:val="21"/>
          <w:szCs w:val="21"/>
          <w:lang w:eastAsia="pl-PL"/>
        </w:rPr>
        <w:drawing>
          <wp:inline distT="0" distB="0" distL="0" distR="0" wp14:anchorId="4667D105" wp14:editId="5E04F710">
            <wp:extent cx="5924550" cy="3315028"/>
            <wp:effectExtent l="0" t="0" r="0" b="0"/>
            <wp:docPr id="11450490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493" cy="331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12B43" w14:textId="1B4DF9FC" w:rsidR="00330258" w:rsidRPr="00215076" w:rsidRDefault="00330258" w:rsidP="00330258">
      <w:pPr>
        <w:shd w:val="clear" w:color="auto" w:fill="FFFFFF"/>
        <w:spacing w:before="120" w:after="120" w:line="240" w:lineRule="auto"/>
        <w:jc w:val="both"/>
        <w:rPr>
          <w:rFonts w:ascii="Poppins" w:eastAsia="Times New Roman" w:hAnsi="Poppins" w:cs="Poppins"/>
          <w:bCs/>
          <w:sz w:val="21"/>
          <w:szCs w:val="21"/>
          <w:lang w:eastAsia="pl-PL"/>
        </w:rPr>
      </w:pPr>
      <w:r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lastRenderedPageBreak/>
        <w:t xml:space="preserve">Ogółem w pierwszych dwóch miesiącach br. ruszyła budowa 36,3 tys. mieszkań i domów, o 79 procent więcej w relacji rok do roku. Z kolei sami deweloperzy rozpoczęli budowę ponad 26 tys. lokali, co daje wynik lepszy od uzyskanego w analogicznym okresie ub. roku o 111 procent. W sumie daje </w:t>
      </w:r>
      <w:r w:rsidR="001B3CF2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>efekt mocnego zaakcentowania poprawy koniunktury inwestycyjnej.</w:t>
      </w:r>
    </w:p>
    <w:p w14:paraId="307A0E5A" w14:textId="1D0CCB07" w:rsidR="00067A67" w:rsidRPr="00215076" w:rsidRDefault="00067A67" w:rsidP="00067A67">
      <w:pPr>
        <w:shd w:val="clear" w:color="auto" w:fill="FFFFFF"/>
        <w:spacing w:before="120" w:after="120" w:line="240" w:lineRule="auto"/>
        <w:rPr>
          <w:rFonts w:ascii="Poppins" w:eastAsia="Times New Roman" w:hAnsi="Poppins" w:cs="Poppins"/>
          <w:b/>
          <w:bCs/>
          <w:sz w:val="21"/>
          <w:szCs w:val="21"/>
          <w:lang w:eastAsia="pl-PL"/>
        </w:rPr>
      </w:pPr>
      <w:r w:rsidRPr="00215076">
        <w:rPr>
          <w:rFonts w:ascii="Poppins" w:eastAsia="Times New Roman" w:hAnsi="Poppins" w:cs="Poppins"/>
          <w:b/>
          <w:bCs/>
          <w:sz w:val="21"/>
          <w:szCs w:val="21"/>
          <w:lang w:eastAsia="pl-PL"/>
        </w:rPr>
        <w:t xml:space="preserve">Nowe pozwolenia </w:t>
      </w:r>
      <w:r w:rsidR="001B3CF2" w:rsidRPr="00215076">
        <w:rPr>
          <w:rFonts w:ascii="Poppins" w:eastAsia="Times New Roman" w:hAnsi="Poppins" w:cs="Poppins"/>
          <w:b/>
          <w:bCs/>
          <w:sz w:val="21"/>
          <w:szCs w:val="21"/>
          <w:lang w:eastAsia="pl-PL"/>
        </w:rPr>
        <w:t>również z</w:t>
      </w:r>
      <w:r w:rsidR="00D758B6" w:rsidRPr="00215076">
        <w:rPr>
          <w:rFonts w:ascii="Poppins" w:eastAsia="Times New Roman" w:hAnsi="Poppins" w:cs="Poppins"/>
          <w:b/>
          <w:bCs/>
          <w:sz w:val="21"/>
          <w:szCs w:val="21"/>
          <w:lang w:eastAsia="pl-PL"/>
        </w:rPr>
        <w:t xml:space="preserve"> </w:t>
      </w:r>
      <w:r w:rsidR="00B70999" w:rsidRPr="00215076">
        <w:rPr>
          <w:rFonts w:ascii="Poppins" w:eastAsia="Times New Roman" w:hAnsi="Poppins" w:cs="Poppins"/>
          <w:b/>
          <w:bCs/>
          <w:sz w:val="21"/>
          <w:szCs w:val="21"/>
          <w:lang w:eastAsia="pl-PL"/>
        </w:rPr>
        <w:t xml:space="preserve">obiecującym </w:t>
      </w:r>
      <w:r w:rsidRPr="00215076">
        <w:rPr>
          <w:rFonts w:ascii="Poppins" w:eastAsia="Times New Roman" w:hAnsi="Poppins" w:cs="Poppins"/>
          <w:b/>
          <w:bCs/>
          <w:sz w:val="21"/>
          <w:szCs w:val="21"/>
          <w:lang w:eastAsia="pl-PL"/>
        </w:rPr>
        <w:t>potencjałem</w:t>
      </w:r>
    </w:p>
    <w:p w14:paraId="55856C89" w14:textId="43F50D8E" w:rsidR="00067A67" w:rsidRPr="00215076" w:rsidRDefault="00067A67" w:rsidP="00067A67">
      <w:pPr>
        <w:shd w:val="clear" w:color="auto" w:fill="FFFFFF"/>
        <w:spacing w:before="120" w:after="120" w:line="240" w:lineRule="auto"/>
        <w:rPr>
          <w:rFonts w:ascii="Poppins" w:eastAsia="Times New Roman" w:hAnsi="Poppins" w:cs="Poppins"/>
          <w:bCs/>
          <w:sz w:val="21"/>
          <w:szCs w:val="21"/>
          <w:lang w:eastAsia="pl-PL"/>
        </w:rPr>
      </w:pPr>
      <w:r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Z kolei w przypadku statystyk nowych pozwoleń na budowę lub zgłoszeń z projektem budowlanym, </w:t>
      </w:r>
      <w:r w:rsidR="001B3CF2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luty potwierdził trwającą już od września ub. roku stabilizację danych na relatywnie wysokim poziomie. </w:t>
      </w:r>
      <w:r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GUS w ubiegłym miesiącu </w:t>
      </w:r>
      <w:r w:rsidR="001B3CF2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doliczył się ich ogółem </w:t>
      </w:r>
      <w:r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>2</w:t>
      </w:r>
      <w:r w:rsidR="00215076">
        <w:rPr>
          <w:rFonts w:ascii="Poppins" w:eastAsia="Times New Roman" w:hAnsi="Poppins" w:cs="Poppins"/>
          <w:bCs/>
          <w:sz w:val="21"/>
          <w:szCs w:val="21"/>
          <w:lang w:eastAsia="pl-PL"/>
        </w:rPr>
        <w:t>1</w:t>
      </w:r>
      <w:r w:rsidR="00FF37E9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>,</w:t>
      </w:r>
      <w:r w:rsidR="00B70999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>4</w:t>
      </w:r>
      <w:r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 tys., czyli </w:t>
      </w:r>
      <w:r w:rsidR="00FF37E9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o </w:t>
      </w:r>
      <w:r w:rsidR="00B70999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>4</w:t>
      </w:r>
      <w:r w:rsidR="00FF37E9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 procent</w:t>
      </w:r>
      <w:r w:rsidR="00B70999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 więcej licząc miesiąc do miesiąca,</w:t>
      </w:r>
      <w:r w:rsidR="00FF37E9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 za to w relacji rok do roku</w:t>
      </w:r>
      <w:r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 jest to wynik </w:t>
      </w:r>
      <w:r w:rsidR="00FF37E9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lepszy </w:t>
      </w:r>
      <w:r w:rsidR="00B70999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już </w:t>
      </w:r>
      <w:r w:rsidR="00FF37E9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o </w:t>
      </w:r>
      <w:r w:rsidR="00B70999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>niespełna</w:t>
      </w:r>
      <w:r w:rsidR="00FF37E9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 jedną trzecią.</w:t>
      </w:r>
    </w:p>
    <w:p w14:paraId="1954D874" w14:textId="1143CC27" w:rsidR="00F73964" w:rsidRPr="00215076" w:rsidRDefault="00067A67" w:rsidP="00D758B6">
      <w:pPr>
        <w:shd w:val="clear" w:color="auto" w:fill="FFFFFF"/>
        <w:spacing w:before="120" w:after="120" w:line="240" w:lineRule="auto"/>
        <w:rPr>
          <w:rFonts w:ascii="Poppins" w:eastAsia="Times New Roman" w:hAnsi="Poppins" w:cs="Poppins"/>
          <w:sz w:val="21"/>
          <w:szCs w:val="21"/>
          <w:lang w:eastAsia="pl-PL"/>
        </w:rPr>
      </w:pPr>
      <w:r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>Jak wiadomo s</w:t>
      </w:r>
      <w:r w:rsidRPr="00215076">
        <w:rPr>
          <w:rFonts w:ascii="Poppins" w:eastAsia="Times New Roman" w:hAnsi="Poppins" w:cs="Poppins"/>
          <w:sz w:val="21"/>
          <w:szCs w:val="21"/>
          <w:lang w:eastAsia="pl-PL"/>
        </w:rPr>
        <w:t xml:space="preserve">tatystyki nowych pozwoleń na budowę wciąż pozostają </w:t>
      </w:r>
      <w:r w:rsidR="00FF37E9" w:rsidRPr="00215076">
        <w:rPr>
          <w:rFonts w:ascii="Poppins" w:eastAsia="Times New Roman" w:hAnsi="Poppins" w:cs="Poppins"/>
          <w:sz w:val="21"/>
          <w:szCs w:val="21"/>
          <w:lang w:eastAsia="pl-PL"/>
        </w:rPr>
        <w:t>relatywnie</w:t>
      </w:r>
      <w:r w:rsidRPr="00215076">
        <w:rPr>
          <w:rFonts w:ascii="Poppins" w:eastAsia="Times New Roman" w:hAnsi="Poppins" w:cs="Poppins"/>
          <w:sz w:val="21"/>
          <w:szCs w:val="21"/>
          <w:lang w:eastAsia="pl-PL"/>
        </w:rPr>
        <w:t xml:space="preserve"> wiarygodnym parametrem oceny potencjału popytowego rynku w przyszłych okresach przez deweloperów. </w:t>
      </w:r>
      <w:r w:rsidR="00B70999" w:rsidRPr="00215076">
        <w:rPr>
          <w:rFonts w:ascii="Poppins" w:eastAsia="Times New Roman" w:hAnsi="Poppins" w:cs="Poppins"/>
          <w:sz w:val="21"/>
          <w:szCs w:val="21"/>
          <w:lang w:eastAsia="pl-PL"/>
        </w:rPr>
        <w:t>Ich lutowy</w:t>
      </w:r>
      <w:r w:rsidRPr="00215076">
        <w:rPr>
          <w:rFonts w:ascii="Poppins" w:eastAsia="Times New Roman" w:hAnsi="Poppins" w:cs="Poppins"/>
          <w:sz w:val="21"/>
          <w:szCs w:val="21"/>
          <w:lang w:eastAsia="pl-PL"/>
        </w:rPr>
        <w:t xml:space="preserve"> wynik</w:t>
      </w:r>
      <w:r w:rsidR="00B70999" w:rsidRPr="00215076">
        <w:rPr>
          <w:rFonts w:ascii="Poppins" w:eastAsia="Times New Roman" w:hAnsi="Poppins" w:cs="Poppins"/>
          <w:sz w:val="21"/>
          <w:szCs w:val="21"/>
          <w:lang w:eastAsia="pl-PL"/>
        </w:rPr>
        <w:t xml:space="preserve"> </w:t>
      </w:r>
      <w:r w:rsidRPr="00215076">
        <w:rPr>
          <w:rFonts w:ascii="Poppins" w:eastAsia="Times New Roman" w:hAnsi="Poppins" w:cs="Poppins"/>
          <w:sz w:val="21"/>
          <w:szCs w:val="21"/>
          <w:lang w:eastAsia="pl-PL"/>
        </w:rPr>
        <w:t>na poziomie 1</w:t>
      </w:r>
      <w:r w:rsidR="00B70999" w:rsidRPr="00215076">
        <w:rPr>
          <w:rFonts w:ascii="Poppins" w:eastAsia="Times New Roman" w:hAnsi="Poppins" w:cs="Poppins"/>
          <w:sz w:val="21"/>
          <w:szCs w:val="21"/>
          <w:lang w:eastAsia="pl-PL"/>
        </w:rPr>
        <w:t>5,5</w:t>
      </w:r>
      <w:r w:rsidR="00FF37E9" w:rsidRPr="00215076">
        <w:rPr>
          <w:rFonts w:ascii="Poppins" w:eastAsia="Times New Roman" w:hAnsi="Poppins" w:cs="Poppins"/>
          <w:sz w:val="21"/>
          <w:szCs w:val="21"/>
          <w:lang w:eastAsia="pl-PL"/>
        </w:rPr>
        <w:t xml:space="preserve"> </w:t>
      </w:r>
      <w:r w:rsidRPr="00215076">
        <w:rPr>
          <w:rFonts w:ascii="Poppins" w:eastAsia="Times New Roman" w:hAnsi="Poppins" w:cs="Poppins"/>
          <w:sz w:val="21"/>
          <w:szCs w:val="21"/>
          <w:lang w:eastAsia="pl-PL"/>
        </w:rPr>
        <w:t>tys.</w:t>
      </w:r>
      <w:r w:rsidR="00B70999" w:rsidRPr="00215076">
        <w:rPr>
          <w:rFonts w:ascii="Poppins" w:eastAsia="Times New Roman" w:hAnsi="Poppins" w:cs="Poppins"/>
          <w:sz w:val="21"/>
          <w:szCs w:val="21"/>
          <w:lang w:eastAsia="pl-PL"/>
        </w:rPr>
        <w:t xml:space="preserve"> jest wyższy</w:t>
      </w:r>
      <w:r w:rsidRPr="00215076">
        <w:rPr>
          <w:rFonts w:ascii="Poppins" w:eastAsia="Times New Roman" w:hAnsi="Poppins" w:cs="Poppins"/>
          <w:sz w:val="21"/>
          <w:szCs w:val="21"/>
          <w:lang w:eastAsia="pl-PL"/>
        </w:rPr>
        <w:t xml:space="preserve"> względem </w:t>
      </w:r>
      <w:r w:rsidR="00B70999" w:rsidRPr="00215076">
        <w:rPr>
          <w:rFonts w:ascii="Poppins" w:eastAsia="Times New Roman" w:hAnsi="Poppins" w:cs="Poppins"/>
          <w:sz w:val="21"/>
          <w:szCs w:val="21"/>
          <w:lang w:eastAsia="pl-PL"/>
        </w:rPr>
        <w:t xml:space="preserve">poprzedzającego stycznia </w:t>
      </w:r>
      <w:r w:rsidR="00FF37E9" w:rsidRPr="00215076">
        <w:rPr>
          <w:rFonts w:ascii="Poppins" w:eastAsia="Times New Roman" w:hAnsi="Poppins" w:cs="Poppins"/>
          <w:sz w:val="21"/>
          <w:szCs w:val="21"/>
          <w:lang w:eastAsia="pl-PL"/>
        </w:rPr>
        <w:t xml:space="preserve">o </w:t>
      </w:r>
      <w:r w:rsidR="00B70999" w:rsidRPr="00215076">
        <w:rPr>
          <w:rFonts w:ascii="Poppins" w:eastAsia="Times New Roman" w:hAnsi="Poppins" w:cs="Poppins"/>
          <w:sz w:val="21"/>
          <w:szCs w:val="21"/>
          <w:lang w:eastAsia="pl-PL"/>
        </w:rPr>
        <w:t>6</w:t>
      </w:r>
      <w:r w:rsidR="00FF37E9" w:rsidRPr="00215076">
        <w:rPr>
          <w:rFonts w:ascii="Poppins" w:eastAsia="Times New Roman" w:hAnsi="Poppins" w:cs="Poppins"/>
          <w:sz w:val="21"/>
          <w:szCs w:val="21"/>
          <w:lang w:eastAsia="pl-PL"/>
        </w:rPr>
        <w:t xml:space="preserve"> proc., </w:t>
      </w:r>
      <w:r w:rsidR="00B70999" w:rsidRPr="00215076">
        <w:rPr>
          <w:rFonts w:ascii="Poppins" w:eastAsia="Times New Roman" w:hAnsi="Poppins" w:cs="Poppins"/>
          <w:sz w:val="21"/>
          <w:szCs w:val="21"/>
          <w:lang w:eastAsia="pl-PL"/>
        </w:rPr>
        <w:t>z kolei</w:t>
      </w:r>
      <w:r w:rsidR="00FF37E9" w:rsidRPr="00215076">
        <w:rPr>
          <w:rFonts w:ascii="Poppins" w:eastAsia="Times New Roman" w:hAnsi="Poppins" w:cs="Poppins"/>
          <w:sz w:val="21"/>
          <w:szCs w:val="21"/>
          <w:lang w:eastAsia="pl-PL"/>
        </w:rPr>
        <w:t xml:space="preserve"> w relacji rok do roku aż o </w:t>
      </w:r>
      <w:r w:rsidR="00B70999" w:rsidRPr="00215076">
        <w:rPr>
          <w:rFonts w:ascii="Poppins" w:eastAsia="Times New Roman" w:hAnsi="Poppins" w:cs="Poppins"/>
          <w:sz w:val="21"/>
          <w:szCs w:val="21"/>
          <w:lang w:eastAsia="pl-PL"/>
        </w:rPr>
        <w:t xml:space="preserve">ponad </w:t>
      </w:r>
      <w:r w:rsidR="00FF37E9" w:rsidRPr="00215076">
        <w:rPr>
          <w:rFonts w:ascii="Poppins" w:eastAsia="Times New Roman" w:hAnsi="Poppins" w:cs="Poppins"/>
          <w:sz w:val="21"/>
          <w:szCs w:val="21"/>
          <w:lang w:eastAsia="pl-PL"/>
        </w:rPr>
        <w:t>42 proc.</w:t>
      </w:r>
      <w:r w:rsidRPr="00215076">
        <w:rPr>
          <w:rFonts w:ascii="Poppins" w:eastAsia="Times New Roman" w:hAnsi="Poppins" w:cs="Poppins"/>
          <w:sz w:val="21"/>
          <w:szCs w:val="21"/>
          <w:lang w:eastAsia="pl-PL"/>
        </w:rPr>
        <w:t xml:space="preserve"> </w:t>
      </w:r>
      <w:r w:rsidR="00D758B6" w:rsidRPr="00215076">
        <w:rPr>
          <w:rFonts w:ascii="Poppins" w:eastAsia="Times New Roman" w:hAnsi="Poppins" w:cs="Poppins"/>
          <w:sz w:val="21"/>
          <w:szCs w:val="21"/>
          <w:lang w:eastAsia="pl-PL"/>
        </w:rPr>
        <w:t xml:space="preserve">Niestety i w tym przypadku jest to </w:t>
      </w:r>
      <w:r w:rsidR="00C90E96" w:rsidRPr="00215076">
        <w:rPr>
          <w:rFonts w:ascii="Poppins" w:eastAsia="Times New Roman" w:hAnsi="Poppins" w:cs="Poppins"/>
          <w:sz w:val="21"/>
          <w:szCs w:val="21"/>
          <w:lang w:eastAsia="pl-PL"/>
        </w:rPr>
        <w:t xml:space="preserve">po części </w:t>
      </w:r>
      <w:r w:rsidR="00D758B6" w:rsidRPr="00215076">
        <w:rPr>
          <w:rFonts w:ascii="Poppins" w:eastAsia="Times New Roman" w:hAnsi="Poppins" w:cs="Poppins"/>
          <w:sz w:val="21"/>
          <w:szCs w:val="21"/>
          <w:lang w:eastAsia="pl-PL"/>
        </w:rPr>
        <w:t xml:space="preserve">efekt załamania statystyk z początku 2023 roku, a więc podobnie jak w przypadku mieszkań rozpoczętych rekordowo niskiej bazy. Mimo wszystko osiągnięty przez deweloperów </w:t>
      </w:r>
      <w:r w:rsidR="00F73964" w:rsidRPr="00215076">
        <w:rPr>
          <w:rFonts w:ascii="Poppins" w:eastAsia="Times New Roman" w:hAnsi="Poppins" w:cs="Poppins"/>
          <w:sz w:val="21"/>
          <w:szCs w:val="21"/>
          <w:lang w:eastAsia="pl-PL"/>
        </w:rPr>
        <w:t xml:space="preserve">w lutym </w:t>
      </w:r>
      <w:r w:rsidR="00D758B6" w:rsidRPr="00215076">
        <w:rPr>
          <w:rFonts w:ascii="Poppins" w:eastAsia="Times New Roman" w:hAnsi="Poppins" w:cs="Poppins"/>
          <w:sz w:val="21"/>
          <w:szCs w:val="21"/>
          <w:lang w:eastAsia="pl-PL"/>
        </w:rPr>
        <w:t xml:space="preserve">wolumen nowych pozwoleń należy uznać za </w:t>
      </w:r>
      <w:r w:rsidR="00F73964" w:rsidRPr="00215076">
        <w:rPr>
          <w:rFonts w:ascii="Poppins" w:eastAsia="Times New Roman" w:hAnsi="Poppins" w:cs="Poppins"/>
          <w:sz w:val="21"/>
          <w:szCs w:val="21"/>
          <w:lang w:eastAsia="pl-PL"/>
        </w:rPr>
        <w:t>ponadprzeciętnie optymistyczny</w:t>
      </w:r>
      <w:r w:rsidR="00D758B6" w:rsidRPr="00215076">
        <w:rPr>
          <w:rFonts w:ascii="Poppins" w:eastAsia="Times New Roman" w:hAnsi="Poppins" w:cs="Poppins"/>
          <w:sz w:val="21"/>
          <w:szCs w:val="21"/>
          <w:lang w:eastAsia="pl-PL"/>
        </w:rPr>
        <w:t xml:space="preserve"> i </w:t>
      </w:r>
      <w:r w:rsidR="00F73964" w:rsidRPr="00215076">
        <w:rPr>
          <w:rFonts w:ascii="Poppins" w:eastAsia="Times New Roman" w:hAnsi="Poppins" w:cs="Poppins"/>
          <w:sz w:val="21"/>
          <w:szCs w:val="21"/>
          <w:lang w:eastAsia="pl-PL"/>
        </w:rPr>
        <w:t>jak najlepiej wróżący rozwojowi koniunktury w nadchodzących miesiącach.</w:t>
      </w:r>
    </w:p>
    <w:p w14:paraId="53187E92" w14:textId="0E7661C5" w:rsidR="00F73964" w:rsidRPr="00215076" w:rsidRDefault="00F73964" w:rsidP="00D758B6">
      <w:pPr>
        <w:shd w:val="clear" w:color="auto" w:fill="FFFFFF"/>
        <w:spacing w:before="120" w:after="120" w:line="240" w:lineRule="auto"/>
        <w:rPr>
          <w:rFonts w:ascii="Poppins" w:eastAsia="Times New Roman" w:hAnsi="Poppins" w:cs="Poppins"/>
          <w:b/>
          <w:bCs/>
          <w:sz w:val="21"/>
          <w:szCs w:val="21"/>
          <w:lang w:eastAsia="pl-PL"/>
        </w:rPr>
      </w:pPr>
      <w:r w:rsidRPr="00215076">
        <w:rPr>
          <w:rFonts w:ascii="Poppins" w:eastAsia="Times New Roman" w:hAnsi="Poppins" w:cs="Poppins"/>
          <w:b/>
          <w:bCs/>
          <w:sz w:val="21"/>
          <w:szCs w:val="21"/>
          <w:lang w:eastAsia="pl-PL"/>
        </w:rPr>
        <w:t xml:space="preserve">Mieszkania oddane </w:t>
      </w:r>
      <w:r w:rsidR="002F6726" w:rsidRPr="00215076">
        <w:rPr>
          <w:rFonts w:ascii="Poppins" w:eastAsia="Times New Roman" w:hAnsi="Poppins" w:cs="Poppins"/>
          <w:b/>
          <w:bCs/>
          <w:sz w:val="21"/>
          <w:szCs w:val="21"/>
          <w:lang w:eastAsia="pl-PL"/>
        </w:rPr>
        <w:t>na przeciętnych poziomach</w:t>
      </w:r>
    </w:p>
    <w:p w14:paraId="67E7E176" w14:textId="092BF9AE" w:rsidR="00D30CB5" w:rsidRPr="00215076" w:rsidRDefault="00F73964" w:rsidP="00D758B6">
      <w:pPr>
        <w:shd w:val="clear" w:color="auto" w:fill="FFFFFF"/>
        <w:spacing w:before="120" w:after="120" w:line="240" w:lineRule="auto"/>
        <w:rPr>
          <w:rFonts w:ascii="Poppins" w:eastAsia="Times New Roman" w:hAnsi="Poppins" w:cs="Poppins"/>
          <w:sz w:val="21"/>
          <w:szCs w:val="21"/>
          <w:lang w:eastAsia="pl-PL"/>
        </w:rPr>
      </w:pPr>
      <w:r w:rsidRPr="00215076">
        <w:rPr>
          <w:rFonts w:ascii="Poppins" w:eastAsia="Times New Roman" w:hAnsi="Poppins" w:cs="Poppins"/>
          <w:sz w:val="21"/>
          <w:szCs w:val="21"/>
          <w:lang w:eastAsia="pl-PL"/>
        </w:rPr>
        <w:t xml:space="preserve">W ostatnim czasie </w:t>
      </w:r>
      <w:r w:rsidR="002F6726" w:rsidRPr="00215076">
        <w:rPr>
          <w:rFonts w:ascii="Poppins" w:eastAsia="Times New Roman" w:hAnsi="Poppins" w:cs="Poppins"/>
          <w:sz w:val="21"/>
          <w:szCs w:val="21"/>
          <w:lang w:eastAsia="pl-PL"/>
        </w:rPr>
        <w:t xml:space="preserve">w </w:t>
      </w:r>
      <w:r w:rsidRPr="00215076">
        <w:rPr>
          <w:rFonts w:ascii="Poppins" w:eastAsia="Times New Roman" w:hAnsi="Poppins" w:cs="Poppins"/>
          <w:sz w:val="21"/>
          <w:szCs w:val="21"/>
          <w:lang w:eastAsia="pl-PL"/>
        </w:rPr>
        <w:t>danych GUS budownictwa mieszkaniowego statystyki lokali oddanych do użytkowania</w:t>
      </w:r>
      <w:r w:rsidR="002F6726" w:rsidRPr="00215076">
        <w:rPr>
          <w:rFonts w:ascii="Poppins" w:eastAsia="Times New Roman" w:hAnsi="Poppins" w:cs="Poppins"/>
          <w:sz w:val="21"/>
          <w:szCs w:val="21"/>
          <w:lang w:eastAsia="pl-PL"/>
        </w:rPr>
        <w:t xml:space="preserve"> utrzymują się na przeciętnym poziomie, do którego w lutym podjęły próbę powrotu po styczniowym tąpnięciu. </w:t>
      </w:r>
      <w:r w:rsidR="00D758B6" w:rsidRPr="00215076">
        <w:rPr>
          <w:rFonts w:ascii="Poppins" w:eastAsia="Times New Roman" w:hAnsi="Poppins" w:cs="Poppins"/>
          <w:sz w:val="21"/>
          <w:szCs w:val="21"/>
          <w:lang w:eastAsia="pl-PL"/>
        </w:rPr>
        <w:t xml:space="preserve"> </w:t>
      </w:r>
      <w:r w:rsidR="002F6726" w:rsidRPr="00215076">
        <w:rPr>
          <w:rFonts w:ascii="Poppins" w:eastAsia="Times New Roman" w:hAnsi="Poppins" w:cs="Poppins"/>
          <w:sz w:val="21"/>
          <w:szCs w:val="21"/>
          <w:lang w:eastAsia="pl-PL"/>
        </w:rPr>
        <w:t>Ogółem lokali oddanych było 16 tys., niemal tyle samo co w lutym ub. roku i 9 procent więcej licząc miesiąc do miesiąca. Od początku roku oddano niespełna 31 tys. mieszkań, co daje wynik gorszy rok do roku o 12 proc.</w:t>
      </w:r>
    </w:p>
    <w:p w14:paraId="2C4451DE" w14:textId="689E87CC" w:rsidR="002F6726" w:rsidRPr="00215076" w:rsidRDefault="004C3E35" w:rsidP="00D758B6">
      <w:pPr>
        <w:shd w:val="clear" w:color="auto" w:fill="FFFFFF"/>
        <w:spacing w:before="120" w:after="120" w:line="240" w:lineRule="auto"/>
        <w:rPr>
          <w:rFonts w:ascii="Poppins" w:eastAsia="Times New Roman" w:hAnsi="Poppins" w:cs="Poppins"/>
          <w:sz w:val="21"/>
          <w:szCs w:val="21"/>
          <w:lang w:eastAsia="pl-PL"/>
        </w:rPr>
      </w:pPr>
      <w:r w:rsidRPr="00215076">
        <w:rPr>
          <w:rFonts w:ascii="Poppins" w:eastAsia="Times New Roman" w:hAnsi="Poppins" w:cs="Poppins"/>
          <w:sz w:val="21"/>
          <w:szCs w:val="21"/>
          <w:lang w:eastAsia="pl-PL"/>
        </w:rPr>
        <w:t xml:space="preserve">Z kolei odbicie przedmiotowych danych GUS w lutym to </w:t>
      </w:r>
      <w:r w:rsidR="00C90E96" w:rsidRPr="00215076">
        <w:rPr>
          <w:rFonts w:ascii="Poppins" w:eastAsia="Times New Roman" w:hAnsi="Poppins" w:cs="Poppins"/>
          <w:sz w:val="21"/>
          <w:szCs w:val="21"/>
          <w:lang w:eastAsia="pl-PL"/>
        </w:rPr>
        <w:t>efekt</w:t>
      </w:r>
      <w:r w:rsidRPr="00215076">
        <w:rPr>
          <w:rFonts w:ascii="Poppins" w:eastAsia="Times New Roman" w:hAnsi="Poppins" w:cs="Poppins"/>
          <w:sz w:val="21"/>
          <w:szCs w:val="21"/>
          <w:lang w:eastAsia="pl-PL"/>
        </w:rPr>
        <w:t xml:space="preserve"> poprawy aktywności deweloperów, których wynik blisko 10 tys. ukończonych lokali oznacza progres zarówno w relacji rok do roku jak i miesiąc do miesiąca o około jedną piąt</w:t>
      </w:r>
      <w:r w:rsidR="00215076">
        <w:rPr>
          <w:rFonts w:ascii="Poppins" w:eastAsia="Times New Roman" w:hAnsi="Poppins" w:cs="Poppins"/>
          <w:sz w:val="21"/>
          <w:szCs w:val="21"/>
          <w:lang w:eastAsia="pl-PL"/>
        </w:rPr>
        <w:t>ą</w:t>
      </w:r>
      <w:r w:rsidRPr="00215076">
        <w:rPr>
          <w:rFonts w:ascii="Poppins" w:eastAsia="Times New Roman" w:hAnsi="Poppins" w:cs="Poppins"/>
          <w:sz w:val="21"/>
          <w:szCs w:val="21"/>
          <w:lang w:eastAsia="pl-PL"/>
        </w:rPr>
        <w:t>. Z kolei w obu tegorocznych miesiącach przedsiębiorcy oddali ponad 18 tys. mieszkań, co jest wynikiem o kilka procent gorszym od analogicznego z ubiegłego roku.</w:t>
      </w:r>
    </w:p>
    <w:p w14:paraId="16D7B372" w14:textId="5726A580" w:rsidR="00DF0140" w:rsidRPr="00215076" w:rsidRDefault="004C3E35" w:rsidP="002F6726">
      <w:pPr>
        <w:shd w:val="clear" w:color="auto" w:fill="FFFFFF"/>
        <w:spacing w:before="120" w:after="120" w:line="240" w:lineRule="auto"/>
        <w:jc w:val="both"/>
        <w:rPr>
          <w:rFonts w:ascii="Poppins" w:eastAsia="Times New Roman" w:hAnsi="Poppins" w:cs="Poppins"/>
          <w:bCs/>
          <w:sz w:val="21"/>
          <w:szCs w:val="21"/>
          <w:lang w:eastAsia="pl-PL"/>
        </w:rPr>
      </w:pPr>
      <w:r w:rsidRPr="00215076">
        <w:rPr>
          <w:rFonts w:ascii="Poppins" w:eastAsia="Times New Roman" w:hAnsi="Poppins" w:cs="Poppins"/>
          <w:sz w:val="21"/>
          <w:szCs w:val="21"/>
          <w:lang w:eastAsia="pl-PL"/>
        </w:rPr>
        <w:t>Najnowsze dane GUS budownictwa mieszkaniowego jednoznacznie sugerują, że wiosna w inwestycyjnym segmencie krajowej mieszkaniówki w tym roku zawitała już w lutym. Na tak optymistyczną wymowę statystyk</w:t>
      </w:r>
      <w:r w:rsidR="00DF0140" w:rsidRPr="00215076">
        <w:rPr>
          <w:rFonts w:ascii="Poppins" w:eastAsia="Times New Roman" w:hAnsi="Poppins" w:cs="Poppins"/>
          <w:sz w:val="21"/>
          <w:szCs w:val="21"/>
          <w:lang w:eastAsia="pl-PL"/>
        </w:rPr>
        <w:t>, do której w największym stopniu przyczynili się deweloperzy,</w:t>
      </w:r>
      <w:r w:rsidRPr="00215076">
        <w:rPr>
          <w:rFonts w:ascii="Poppins" w:eastAsia="Times New Roman" w:hAnsi="Poppins" w:cs="Poppins"/>
          <w:sz w:val="21"/>
          <w:szCs w:val="21"/>
          <w:lang w:eastAsia="pl-PL"/>
        </w:rPr>
        <w:t xml:space="preserve"> zapewne decydujący wpływ mają</w:t>
      </w:r>
      <w:r w:rsidR="002F6726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 ostateczne decyzje rządowe dotyczące nowego programu dopłat do kredytów mieszkaniowych. </w:t>
      </w:r>
      <w:r w:rsidR="00DF0140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Perspektywy rynku wydały się inwestorom i przedsiębiorcom na tyle wiarygodne i obiecujące, że w końcu zdecydowali się na </w:t>
      </w:r>
      <w:r w:rsidR="00215076">
        <w:rPr>
          <w:rFonts w:ascii="Poppins" w:eastAsia="Times New Roman" w:hAnsi="Poppins" w:cs="Poppins"/>
          <w:bCs/>
          <w:sz w:val="21"/>
          <w:szCs w:val="21"/>
          <w:lang w:eastAsia="pl-PL"/>
        </w:rPr>
        <w:t>znaczne</w:t>
      </w:r>
      <w:r w:rsidR="00DF0140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 xml:space="preserve"> podkręcenie swych mocy produkcyjnych. Powinno to </w:t>
      </w:r>
      <w:r w:rsidR="00F71625" w:rsidRPr="00215076">
        <w:rPr>
          <w:rFonts w:ascii="Poppins" w:eastAsia="Times New Roman" w:hAnsi="Poppins" w:cs="Poppins"/>
          <w:bCs/>
          <w:sz w:val="21"/>
          <w:szCs w:val="21"/>
          <w:lang w:eastAsia="pl-PL"/>
        </w:rPr>
        <w:t>istotnie ograniczyć potencjał wzrostowy cen nowych mieszkań w kolejnych miesiącach tego roku, co wciąż pozostaje głównym czynnikiem ryzyka rozwoju koniunktury w przewidywalnej perspektywie najbliższych miesięcy.</w:t>
      </w:r>
    </w:p>
    <w:sectPr w:rsidR="00DF0140" w:rsidRPr="00215076" w:rsidSect="00AD2779">
      <w:headerReference w:type="default" r:id="rId10"/>
      <w:pgSz w:w="11906" w:h="16838"/>
      <w:pgMar w:top="720" w:right="720" w:bottom="720" w:left="720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B81B8" w14:textId="77777777" w:rsidR="00AD2779" w:rsidRDefault="00AD2779" w:rsidP="00E533BD">
      <w:pPr>
        <w:spacing w:after="0" w:line="240" w:lineRule="auto"/>
      </w:pPr>
      <w:r>
        <w:separator/>
      </w:r>
    </w:p>
  </w:endnote>
  <w:endnote w:type="continuationSeparator" w:id="0">
    <w:p w14:paraId="3843DCDD" w14:textId="77777777" w:rsidR="00AD2779" w:rsidRDefault="00AD2779" w:rsidP="00E5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95EA6" w14:textId="77777777" w:rsidR="00AD2779" w:rsidRDefault="00AD2779" w:rsidP="00E533BD">
      <w:pPr>
        <w:spacing w:after="0" w:line="240" w:lineRule="auto"/>
      </w:pPr>
      <w:r>
        <w:separator/>
      </w:r>
    </w:p>
  </w:footnote>
  <w:footnote w:type="continuationSeparator" w:id="0">
    <w:p w14:paraId="36BDDC57" w14:textId="77777777" w:rsidR="00AD2779" w:rsidRDefault="00AD2779" w:rsidP="00E53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483D" w14:textId="31C0457E" w:rsidR="00E533BD" w:rsidRDefault="00DA7D8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49997B" wp14:editId="064C2B69">
          <wp:simplePos x="0" y="0"/>
          <wp:positionH relativeFrom="page">
            <wp:posOffset>28575</wp:posOffset>
          </wp:positionH>
          <wp:positionV relativeFrom="paragraph">
            <wp:posOffset>-624205</wp:posOffset>
          </wp:positionV>
          <wp:extent cx="7496810" cy="1033145"/>
          <wp:effectExtent l="0" t="0" r="0" b="0"/>
          <wp:wrapThrough wrapText="bothSides">
            <wp:wrapPolygon edited="0">
              <wp:start x="1427" y="4779"/>
              <wp:lineTo x="1153" y="6771"/>
              <wp:lineTo x="878" y="9559"/>
              <wp:lineTo x="933" y="15533"/>
              <wp:lineTo x="9331" y="18321"/>
              <wp:lineTo x="19211" y="19117"/>
              <wp:lineTo x="20693" y="19117"/>
              <wp:lineTo x="20693" y="18321"/>
              <wp:lineTo x="18717" y="11948"/>
              <wp:lineTo x="18826" y="8364"/>
              <wp:lineTo x="16302" y="7567"/>
              <wp:lineTo x="1921" y="4779"/>
              <wp:lineTo x="1427" y="4779"/>
            </wp:wrapPolygon>
          </wp:wrapThrough>
          <wp:docPr id="3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7" r="7"/>
                  <a:stretch>
                    <a:fillRect/>
                  </a:stretch>
                </pic:blipFill>
                <pic:spPr>
                  <a:xfrm>
                    <a:off x="0" y="0"/>
                    <a:ext cx="7496810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06C">
      <w:ptab w:relativeTo="margin" w:alignment="center" w:leader="none"/>
    </w:r>
    <w:r w:rsidR="00FB7A20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E4A08"/>
    <w:multiLevelType w:val="multilevel"/>
    <w:tmpl w:val="363A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tos" w:eastAsia="Times New Roman" w:hAnsi="Aptos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2218E3"/>
    <w:multiLevelType w:val="hybridMultilevel"/>
    <w:tmpl w:val="EE7A4C46"/>
    <w:lvl w:ilvl="0" w:tplc="09B6F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F4D86"/>
    <w:multiLevelType w:val="multilevel"/>
    <w:tmpl w:val="B24C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tos" w:eastAsia="Times New Roman" w:hAnsi="Aptos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0043884">
    <w:abstractNumId w:val="0"/>
  </w:num>
  <w:num w:numId="2" w16cid:durableId="1394499971">
    <w:abstractNumId w:val="2"/>
  </w:num>
  <w:num w:numId="3" w16cid:durableId="102120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BD"/>
    <w:rsid w:val="000061D9"/>
    <w:rsid w:val="00010B86"/>
    <w:rsid w:val="00015274"/>
    <w:rsid w:val="00016290"/>
    <w:rsid w:val="0002489E"/>
    <w:rsid w:val="00027E31"/>
    <w:rsid w:val="00044139"/>
    <w:rsid w:val="00056AE5"/>
    <w:rsid w:val="00057F54"/>
    <w:rsid w:val="00067A67"/>
    <w:rsid w:val="00071AC1"/>
    <w:rsid w:val="000C2C30"/>
    <w:rsid w:val="000C6CBF"/>
    <w:rsid w:val="000F0B92"/>
    <w:rsid w:val="001003CF"/>
    <w:rsid w:val="00103CEB"/>
    <w:rsid w:val="001043A3"/>
    <w:rsid w:val="00106C6C"/>
    <w:rsid w:val="00123BF3"/>
    <w:rsid w:val="0012480B"/>
    <w:rsid w:val="001467D0"/>
    <w:rsid w:val="00160B41"/>
    <w:rsid w:val="00171955"/>
    <w:rsid w:val="00176DE5"/>
    <w:rsid w:val="00182A25"/>
    <w:rsid w:val="0018306C"/>
    <w:rsid w:val="00193531"/>
    <w:rsid w:val="00194693"/>
    <w:rsid w:val="001B3CF2"/>
    <w:rsid w:val="001C3E2E"/>
    <w:rsid w:val="001D2BE7"/>
    <w:rsid w:val="001E68B8"/>
    <w:rsid w:val="002062BD"/>
    <w:rsid w:val="00215076"/>
    <w:rsid w:val="002163A3"/>
    <w:rsid w:val="00226E77"/>
    <w:rsid w:val="002565D9"/>
    <w:rsid w:val="0027120F"/>
    <w:rsid w:val="002829EA"/>
    <w:rsid w:val="00293F01"/>
    <w:rsid w:val="002A03DA"/>
    <w:rsid w:val="002B2E52"/>
    <w:rsid w:val="002B6105"/>
    <w:rsid w:val="002C3A0A"/>
    <w:rsid w:val="002D1AF3"/>
    <w:rsid w:val="002E6753"/>
    <w:rsid w:val="002F6726"/>
    <w:rsid w:val="0030376C"/>
    <w:rsid w:val="00320CFA"/>
    <w:rsid w:val="00330258"/>
    <w:rsid w:val="00331728"/>
    <w:rsid w:val="00367682"/>
    <w:rsid w:val="0036796F"/>
    <w:rsid w:val="00370F36"/>
    <w:rsid w:val="0037657E"/>
    <w:rsid w:val="00382D22"/>
    <w:rsid w:val="003907BB"/>
    <w:rsid w:val="0039417A"/>
    <w:rsid w:val="003C74F0"/>
    <w:rsid w:val="003D28BE"/>
    <w:rsid w:val="003F4D95"/>
    <w:rsid w:val="004069F6"/>
    <w:rsid w:val="00414F41"/>
    <w:rsid w:val="00415CFE"/>
    <w:rsid w:val="00442EBD"/>
    <w:rsid w:val="00445E56"/>
    <w:rsid w:val="0045420A"/>
    <w:rsid w:val="004B34BB"/>
    <w:rsid w:val="004C3E35"/>
    <w:rsid w:val="004C4395"/>
    <w:rsid w:val="004F4BE7"/>
    <w:rsid w:val="00504683"/>
    <w:rsid w:val="00507867"/>
    <w:rsid w:val="00507B27"/>
    <w:rsid w:val="005329D7"/>
    <w:rsid w:val="005428ED"/>
    <w:rsid w:val="0054639B"/>
    <w:rsid w:val="00553612"/>
    <w:rsid w:val="00562815"/>
    <w:rsid w:val="005641A0"/>
    <w:rsid w:val="00565B3F"/>
    <w:rsid w:val="00571D71"/>
    <w:rsid w:val="005756AC"/>
    <w:rsid w:val="00595106"/>
    <w:rsid w:val="005B6EC7"/>
    <w:rsid w:val="005D03E9"/>
    <w:rsid w:val="005D149B"/>
    <w:rsid w:val="005D60E5"/>
    <w:rsid w:val="005E154B"/>
    <w:rsid w:val="005E4426"/>
    <w:rsid w:val="006170B5"/>
    <w:rsid w:val="00632E1A"/>
    <w:rsid w:val="00655C90"/>
    <w:rsid w:val="00655E69"/>
    <w:rsid w:val="006575E9"/>
    <w:rsid w:val="0066231E"/>
    <w:rsid w:val="00693D0A"/>
    <w:rsid w:val="006A6C3D"/>
    <w:rsid w:val="006C07E3"/>
    <w:rsid w:val="006D1A53"/>
    <w:rsid w:val="006D638E"/>
    <w:rsid w:val="006E144D"/>
    <w:rsid w:val="006E194D"/>
    <w:rsid w:val="006F0A66"/>
    <w:rsid w:val="006F1831"/>
    <w:rsid w:val="006F76BE"/>
    <w:rsid w:val="007779A3"/>
    <w:rsid w:val="00782C3E"/>
    <w:rsid w:val="00793B7D"/>
    <w:rsid w:val="007D2716"/>
    <w:rsid w:val="007E3768"/>
    <w:rsid w:val="00801EEA"/>
    <w:rsid w:val="00825AD9"/>
    <w:rsid w:val="008265FD"/>
    <w:rsid w:val="00836B91"/>
    <w:rsid w:val="008847A8"/>
    <w:rsid w:val="00884A9A"/>
    <w:rsid w:val="008A0725"/>
    <w:rsid w:val="008A109B"/>
    <w:rsid w:val="008A7207"/>
    <w:rsid w:val="008C4684"/>
    <w:rsid w:val="008C55BD"/>
    <w:rsid w:val="008E239F"/>
    <w:rsid w:val="008E3DF2"/>
    <w:rsid w:val="008F7B1C"/>
    <w:rsid w:val="0091278B"/>
    <w:rsid w:val="009232E8"/>
    <w:rsid w:val="0093718E"/>
    <w:rsid w:val="00967D21"/>
    <w:rsid w:val="0098333B"/>
    <w:rsid w:val="00990AA6"/>
    <w:rsid w:val="009A320D"/>
    <w:rsid w:val="009A324B"/>
    <w:rsid w:val="009A3D85"/>
    <w:rsid w:val="009A4AA4"/>
    <w:rsid w:val="009C2310"/>
    <w:rsid w:val="009C234B"/>
    <w:rsid w:val="009C44C2"/>
    <w:rsid w:val="00A0126E"/>
    <w:rsid w:val="00A17D1B"/>
    <w:rsid w:val="00A24093"/>
    <w:rsid w:val="00A24645"/>
    <w:rsid w:val="00A4731E"/>
    <w:rsid w:val="00A547BE"/>
    <w:rsid w:val="00A64C0A"/>
    <w:rsid w:val="00A74FA9"/>
    <w:rsid w:val="00A85C7B"/>
    <w:rsid w:val="00A90FB0"/>
    <w:rsid w:val="00AD0B83"/>
    <w:rsid w:val="00AD2779"/>
    <w:rsid w:val="00AF5A96"/>
    <w:rsid w:val="00AF6E36"/>
    <w:rsid w:val="00B04046"/>
    <w:rsid w:val="00B141B2"/>
    <w:rsid w:val="00B17444"/>
    <w:rsid w:val="00B334C3"/>
    <w:rsid w:val="00B33F85"/>
    <w:rsid w:val="00B42848"/>
    <w:rsid w:val="00B430F1"/>
    <w:rsid w:val="00B5353F"/>
    <w:rsid w:val="00B6641D"/>
    <w:rsid w:val="00B675F4"/>
    <w:rsid w:val="00B70999"/>
    <w:rsid w:val="00B90C5F"/>
    <w:rsid w:val="00BA48E5"/>
    <w:rsid w:val="00BA4AE2"/>
    <w:rsid w:val="00BE548A"/>
    <w:rsid w:val="00BE7A24"/>
    <w:rsid w:val="00BF285E"/>
    <w:rsid w:val="00BF2F46"/>
    <w:rsid w:val="00C05921"/>
    <w:rsid w:val="00C12248"/>
    <w:rsid w:val="00C35B7E"/>
    <w:rsid w:val="00C50A12"/>
    <w:rsid w:val="00C90E96"/>
    <w:rsid w:val="00CA33AD"/>
    <w:rsid w:val="00CB7C00"/>
    <w:rsid w:val="00CC024E"/>
    <w:rsid w:val="00CC5797"/>
    <w:rsid w:val="00CD15B5"/>
    <w:rsid w:val="00CF036B"/>
    <w:rsid w:val="00D061AE"/>
    <w:rsid w:val="00D1044B"/>
    <w:rsid w:val="00D3042F"/>
    <w:rsid w:val="00D30CB5"/>
    <w:rsid w:val="00D320B2"/>
    <w:rsid w:val="00D3312D"/>
    <w:rsid w:val="00D455CB"/>
    <w:rsid w:val="00D51399"/>
    <w:rsid w:val="00D56A8C"/>
    <w:rsid w:val="00D61549"/>
    <w:rsid w:val="00D758B6"/>
    <w:rsid w:val="00DA0E39"/>
    <w:rsid w:val="00DA494D"/>
    <w:rsid w:val="00DA72F4"/>
    <w:rsid w:val="00DA7D8F"/>
    <w:rsid w:val="00DB60A0"/>
    <w:rsid w:val="00DC1870"/>
    <w:rsid w:val="00DC2B5F"/>
    <w:rsid w:val="00DD55CF"/>
    <w:rsid w:val="00DD57D9"/>
    <w:rsid w:val="00DD6A44"/>
    <w:rsid w:val="00DE1753"/>
    <w:rsid w:val="00DF0140"/>
    <w:rsid w:val="00E12093"/>
    <w:rsid w:val="00E25AAC"/>
    <w:rsid w:val="00E32A58"/>
    <w:rsid w:val="00E32F03"/>
    <w:rsid w:val="00E3719E"/>
    <w:rsid w:val="00E440F2"/>
    <w:rsid w:val="00E533BD"/>
    <w:rsid w:val="00E73303"/>
    <w:rsid w:val="00E73E63"/>
    <w:rsid w:val="00E849E3"/>
    <w:rsid w:val="00E84E26"/>
    <w:rsid w:val="00EA18AB"/>
    <w:rsid w:val="00EA269B"/>
    <w:rsid w:val="00EC10B9"/>
    <w:rsid w:val="00EC5BB4"/>
    <w:rsid w:val="00EC78B9"/>
    <w:rsid w:val="00ED61B2"/>
    <w:rsid w:val="00ED6CE9"/>
    <w:rsid w:val="00EF2044"/>
    <w:rsid w:val="00F06678"/>
    <w:rsid w:val="00F21411"/>
    <w:rsid w:val="00F22FB4"/>
    <w:rsid w:val="00F2311C"/>
    <w:rsid w:val="00F27BE9"/>
    <w:rsid w:val="00F52BC1"/>
    <w:rsid w:val="00F60C6C"/>
    <w:rsid w:val="00F658E2"/>
    <w:rsid w:val="00F71625"/>
    <w:rsid w:val="00F73964"/>
    <w:rsid w:val="00F9538E"/>
    <w:rsid w:val="00FA42CC"/>
    <w:rsid w:val="00FA680B"/>
    <w:rsid w:val="00FB1774"/>
    <w:rsid w:val="00FB7A20"/>
    <w:rsid w:val="00FD5C22"/>
    <w:rsid w:val="00FF1AE0"/>
    <w:rsid w:val="00FF326D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EF5DA"/>
  <w15:chartTrackingRefBased/>
  <w15:docId w15:val="{F36E7F9C-64BC-455F-93AF-CCB032D6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3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3BD"/>
  </w:style>
  <w:style w:type="paragraph" w:styleId="Stopka">
    <w:name w:val="footer"/>
    <w:basedOn w:val="Normalny"/>
    <w:link w:val="StopkaZnak"/>
    <w:uiPriority w:val="99"/>
    <w:unhideWhenUsed/>
    <w:rsid w:val="00E53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3BD"/>
  </w:style>
  <w:style w:type="paragraph" w:styleId="NormalnyWeb">
    <w:name w:val="Normal (Web)"/>
    <w:basedOn w:val="Normalny"/>
    <w:uiPriority w:val="99"/>
    <w:semiHidden/>
    <w:unhideWhenUsed/>
    <w:rsid w:val="0027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7120F"/>
    <w:rPr>
      <w:color w:val="0000FF"/>
      <w:u w:val="single"/>
    </w:rPr>
  </w:style>
  <w:style w:type="character" w:customStyle="1" w:styleId="hgkelc">
    <w:name w:val="hgkelc"/>
    <w:basedOn w:val="Domylnaczcionkaakapitu"/>
    <w:rsid w:val="00E3719E"/>
  </w:style>
  <w:style w:type="character" w:styleId="Pogrubienie">
    <w:name w:val="Strong"/>
    <w:basedOn w:val="Domylnaczcionkaakapitu"/>
    <w:uiPriority w:val="22"/>
    <w:qFormat/>
    <w:rsid w:val="004C4395"/>
    <w:rPr>
      <w:b/>
      <w:bCs/>
    </w:rPr>
  </w:style>
  <w:style w:type="paragraph" w:styleId="Bezodstpw">
    <w:name w:val="No Spacing"/>
    <w:uiPriority w:val="1"/>
    <w:qFormat/>
    <w:rsid w:val="00F27BE9"/>
    <w:pPr>
      <w:spacing w:after="0" w:line="240" w:lineRule="auto"/>
    </w:pPr>
  </w:style>
  <w:style w:type="paragraph" w:customStyle="1" w:styleId="Textbody">
    <w:name w:val="Text body"/>
    <w:basedOn w:val="Normalny"/>
    <w:rsid w:val="00571D71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467D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15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nekpierwotny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A948-74EE-46C4-AA71-52FAB671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Kazimierczak</dc:creator>
  <cp:keywords/>
  <dc:description/>
  <cp:lastModifiedBy>Mikołaj Ostrowski</cp:lastModifiedBy>
  <cp:revision>6</cp:revision>
  <cp:lastPrinted>2022-08-09T11:51:00Z</cp:lastPrinted>
  <dcterms:created xsi:type="dcterms:W3CDTF">2024-03-21T09:16:00Z</dcterms:created>
  <dcterms:modified xsi:type="dcterms:W3CDTF">2024-03-21T13:56:00Z</dcterms:modified>
</cp:coreProperties>
</file>